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bookmarkStart w:id="0" w:name="threetwo"/>
      <w:r w:rsidRPr="0099148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E4" w:rsidRPr="00991481" w:rsidRDefault="00BB2F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D9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BB2FE4" w:rsidRPr="00991481" w:rsidRDefault="00BB2F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174"/>
        <w:gridCol w:w="2027"/>
      </w:tblGrid>
      <w:tr w:rsidR="00A72896" w:rsidRPr="00991481" w:rsidTr="00012C21">
        <w:trPr>
          <w:trHeight w:val="564"/>
        </w:trPr>
        <w:tc>
          <w:tcPr>
            <w:tcW w:w="4928" w:type="dxa"/>
            <w:vAlign w:val="center"/>
          </w:tcPr>
          <w:bookmarkEnd w:id="0"/>
          <w:p w:rsidR="00154CBD" w:rsidRPr="00991481" w:rsidRDefault="00603314" w:rsidP="00BB2FE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BB2FE4">
              <w:rPr>
                <w:rFonts w:cs="Arial"/>
                <w:b/>
                <w:bCs/>
                <w:sz w:val="22"/>
                <w:szCs w:val="22"/>
              </w:rPr>
              <w:t>Senior Chef de Partie/Third Chef</w:t>
            </w:r>
          </w:p>
        </w:tc>
        <w:tc>
          <w:tcPr>
            <w:tcW w:w="4314" w:type="dxa"/>
            <w:gridSpan w:val="2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DE5352">
              <w:rPr>
                <w:rFonts w:cs="Arial"/>
                <w:b/>
                <w:bCs/>
                <w:sz w:val="22"/>
                <w:szCs w:val="22"/>
              </w:rPr>
              <w:t>older :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74C22" w:rsidRDefault="00991481" w:rsidP="00BB2FE4">
            <w:pPr>
              <w:spacing w:before="120" w:after="12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BB2FE4">
              <w:rPr>
                <w:rFonts w:cs="Arial"/>
                <w:bCs/>
                <w:iCs/>
                <w:sz w:val="22"/>
                <w:szCs w:val="22"/>
              </w:rPr>
              <w:t xml:space="preserve">The Head Chef or 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>Second Chef</w:t>
            </w:r>
            <w:r w:rsidR="00BB2FE4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232E7C">
              <w:rPr>
                <w:rFonts w:cs="Arial"/>
                <w:bCs/>
                <w:iCs/>
                <w:sz w:val="22"/>
                <w:szCs w:val="22"/>
              </w:rPr>
              <w:t>(</w:t>
            </w:r>
            <w:r w:rsidR="00232E7C" w:rsidRPr="00974C22">
              <w:rPr>
                <w:rFonts w:cs="Arial"/>
                <w:bCs/>
                <w:iCs/>
                <w:sz w:val="22"/>
                <w:szCs w:val="22"/>
              </w:rPr>
              <w:t>dependent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 xml:space="preserve"> upon the</w:t>
            </w:r>
            <w:r w:rsidR="00BB2FE4">
              <w:rPr>
                <w:rFonts w:cs="Arial"/>
                <w:bCs/>
                <w:iCs/>
                <w:sz w:val="22"/>
                <w:szCs w:val="22"/>
              </w:rPr>
              <w:t xml:space="preserve"> absence of the Head Chef) 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>and then to the Catering Manager (or Deputy in his/her absence).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12C21" w:rsidRDefault="00974C22" w:rsidP="00012C21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974C22">
              <w:rPr>
                <w:rFonts w:eastAsiaTheme="minorHAnsi" w:cs="Arial"/>
                <w:sz w:val="22"/>
                <w:szCs w:val="22"/>
              </w:rPr>
              <w:t xml:space="preserve">The </w:t>
            </w:r>
            <w:r w:rsidR="00BB2FE4">
              <w:rPr>
                <w:rFonts w:eastAsiaTheme="minorHAnsi" w:cs="Arial"/>
                <w:sz w:val="22"/>
                <w:szCs w:val="22"/>
              </w:rPr>
              <w:t xml:space="preserve">Senior </w:t>
            </w:r>
            <w:r w:rsidRPr="00974C22">
              <w:rPr>
                <w:rFonts w:eastAsiaTheme="minorHAnsi" w:cs="Arial"/>
                <w:sz w:val="22"/>
                <w:szCs w:val="22"/>
              </w:rPr>
              <w:t>Chef de Partie role is to assist the Head Chef &amp; kitchen brigade in producing fresh imaginative food within a seven day operation.</w:t>
            </w:r>
            <w:r w:rsidR="00232E7C">
              <w:rPr>
                <w:rFonts w:eastAsiaTheme="minorHAnsi" w:cs="Arial"/>
                <w:sz w:val="22"/>
                <w:szCs w:val="22"/>
              </w:rPr>
              <w:t xml:space="preserve"> To deputise in the absence of the Head Chef or Second Chef. To assist the Second Chef in the management of the HACCP program. </w:t>
            </w:r>
            <w:r w:rsidRPr="00974C22">
              <w:rPr>
                <w:rFonts w:eastAsiaTheme="minorHAnsi" w:cs="Arial"/>
                <w:sz w:val="22"/>
                <w:szCs w:val="22"/>
              </w:rPr>
              <w:t xml:space="preserve">To maintain clean and hygienic standards throughout the department; adhering to all current health &amp; hygiene </w:t>
            </w:r>
            <w:r w:rsidR="00232E7C" w:rsidRPr="00974C22">
              <w:rPr>
                <w:rFonts w:eastAsiaTheme="minorHAnsi" w:cs="Arial"/>
                <w:sz w:val="22"/>
                <w:szCs w:val="22"/>
              </w:rPr>
              <w:t>legis</w:t>
            </w:r>
            <w:r w:rsidR="00232E7C">
              <w:rPr>
                <w:rFonts w:eastAsiaTheme="minorHAnsi" w:cs="Arial"/>
                <w:sz w:val="22"/>
                <w:szCs w:val="22"/>
              </w:rPr>
              <w:t>lation.</w:t>
            </w:r>
            <w:r w:rsidR="00232E7C" w:rsidRPr="00974C22">
              <w:rPr>
                <w:rFonts w:eastAsiaTheme="minorHAnsi" w:cs="Arial"/>
                <w:sz w:val="22"/>
                <w:szCs w:val="22"/>
              </w:rPr>
              <w:t xml:space="preserve"> To</w:t>
            </w:r>
            <w:r w:rsidRPr="00974C22">
              <w:rPr>
                <w:rFonts w:eastAsiaTheme="minorHAnsi" w:cs="Arial"/>
                <w:sz w:val="22"/>
                <w:szCs w:val="22"/>
              </w:rPr>
              <w:t xml:space="preserve"> adhere to strict portion control and costings as set out by the Catering Manager whilst at the same time ensuring food is produced to the highest specification &amp; presentation.</w:t>
            </w:r>
          </w:p>
          <w:p w:rsidR="00974C22" w:rsidRPr="003A0505" w:rsidRDefault="00974C22" w:rsidP="00012C21">
            <w:pPr>
              <w:overflowPunct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DC51DC" w:rsidRPr="00991481" w:rsidTr="00672199">
        <w:tc>
          <w:tcPr>
            <w:tcW w:w="7196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1" w:name="_Toc165447314"/>
            <w:bookmarkStart w:id="2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DC51DC" w:rsidRPr="008E2B05" w:rsidRDefault="00DC51DC" w:rsidP="0067219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51DC" w:rsidRPr="008E2B05" w:rsidTr="00672199">
        <w:tc>
          <w:tcPr>
            <w:tcW w:w="7196" w:type="dxa"/>
            <w:gridSpan w:val="2"/>
          </w:tcPr>
          <w:p w:rsidR="00974C22" w:rsidRPr="00672199" w:rsidRDefault="00974C22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 w:after="12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Assisting the Head Chef with the preparation of weekly menus;</w:t>
            </w:r>
          </w:p>
          <w:p w:rsidR="00BB2FE4" w:rsidRDefault="00BB2FE4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/>
              <w:textAlignment w:val="auto"/>
              <w:rPr>
                <w:sz w:val="22"/>
                <w:szCs w:val="22"/>
              </w:rPr>
            </w:pPr>
            <w:r w:rsidRPr="00BB2FE4">
              <w:rPr>
                <w:sz w:val="22"/>
                <w:szCs w:val="22"/>
              </w:rPr>
              <w:t>The preparation of all food as outlined to College standards</w:t>
            </w:r>
            <w:r w:rsidR="00825FEC">
              <w:rPr>
                <w:sz w:val="22"/>
                <w:szCs w:val="22"/>
              </w:rPr>
              <w:t>;</w:t>
            </w:r>
          </w:p>
          <w:p w:rsidR="00BB2FE4" w:rsidRPr="00BB2FE4" w:rsidRDefault="00BB2FE4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/>
              <w:textAlignment w:val="auto"/>
              <w:rPr>
                <w:sz w:val="22"/>
                <w:szCs w:val="22"/>
              </w:rPr>
            </w:pPr>
            <w:r w:rsidRPr="00BB2FE4">
              <w:rPr>
                <w:sz w:val="22"/>
                <w:szCs w:val="22"/>
              </w:rPr>
              <w:t>Placing orders in the absence of the Head Chef or Second Chef using nominated suppliers</w:t>
            </w:r>
            <w:r w:rsidR="00825FEC">
              <w:rPr>
                <w:sz w:val="22"/>
                <w:szCs w:val="22"/>
              </w:rPr>
              <w:t>;</w:t>
            </w:r>
          </w:p>
          <w:p w:rsidR="00974C22" w:rsidRPr="00BB2FE4" w:rsidRDefault="00974C22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 w:after="12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BB2FE4">
              <w:rPr>
                <w:rFonts w:cs="Arial"/>
                <w:sz w:val="22"/>
                <w:szCs w:val="22"/>
              </w:rPr>
              <w:t>Ensuring that the appropriate methods of cooking &amp; presentation are used to maintain high standards of service;</w:t>
            </w:r>
          </w:p>
          <w:p w:rsidR="00974C22" w:rsidRPr="00672199" w:rsidRDefault="00974C22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 w:after="12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Ensuring that all legal &amp; College regulations regarding health &amp; hygiene &amp; safety are complied with in all tasks;</w:t>
            </w:r>
          </w:p>
          <w:p w:rsidR="00974C22" w:rsidRDefault="00974C22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 w:after="12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Assisting in the maintenance of the goods received systems to ensure legal &amp; quality standards are maintained; </w:t>
            </w:r>
          </w:p>
          <w:p w:rsidR="00BB2FE4" w:rsidRPr="00672199" w:rsidRDefault="00BB2FE4" w:rsidP="00BB2FE4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before="240" w:after="120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monitoring &amp; supervising of the Assured Safe Catering program within the kitchen;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monitoring of production volumes &amp; food wastage to within budgetary constraints;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presentation of a consistently high standard of food in the dining room &amp; encouraging customer feedback;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Undergoing training as detailed by the Head Chef &amp; Catering Manager;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implementation of the Kitchen cleaning schedule to the agreed standards;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Briefing all kitchen &amp; waiting staff prior to service when in charge ensuring that all staff are conversant with the dish content, cooking methods, portion size, correct service utensils &amp; appropriate accompaniments and allergen awareness;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the Head Chef in regular stock checks at agreed times;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Attending to any reasonable request made by the management or Head Chef;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Undertaking duty chef serving responsibilities at the Buttery;</w:t>
            </w:r>
          </w:p>
          <w:p w:rsidR="00974C22" w:rsidRPr="00672199" w:rsidRDefault="00974C22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Deputising</w:t>
            </w:r>
            <w:r w:rsidR="00BB2FE4">
              <w:rPr>
                <w:rFonts w:cs="Arial"/>
                <w:bCs/>
                <w:sz w:val="22"/>
                <w:szCs w:val="22"/>
              </w:rPr>
              <w:t xml:space="preserve"> alternate weekends in the main kitchen;</w:t>
            </w:r>
          </w:p>
          <w:p w:rsidR="00494289" w:rsidRPr="00672199" w:rsidRDefault="003A0505" w:rsidP="00BB2FE4">
            <w:pPr>
              <w:pStyle w:val="ListParagraph"/>
              <w:numPr>
                <w:ilvl w:val="0"/>
                <w:numId w:val="15"/>
              </w:numPr>
              <w:spacing w:before="240" w:after="120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 xml:space="preserve">Undertake any other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duties or responsibilities which may be assigned from time to time by the </w:t>
            </w:r>
            <w:r w:rsidR="00672199" w:rsidRPr="00672199">
              <w:rPr>
                <w:rFonts w:cs="Arial"/>
                <w:bCs/>
                <w:iCs/>
                <w:sz w:val="22"/>
                <w:szCs w:val="22"/>
              </w:rPr>
              <w:t>Head Chef</w:t>
            </w:r>
            <w:r w:rsidR="0067219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/ 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 xml:space="preserve">Catering Manager.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DC51DC" w:rsidRPr="00672199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94289" w:rsidRDefault="00494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94289" w:rsidRPr="008E2B05" w:rsidTr="00494289">
        <w:tc>
          <w:tcPr>
            <w:tcW w:w="9242" w:type="dxa"/>
          </w:tcPr>
          <w:p w:rsidR="00494289" w:rsidRPr="00494289" w:rsidRDefault="00494289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t>Health and Safety Requirements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974C22" w:rsidRPr="00672199" w:rsidRDefault="00974C22" w:rsidP="00672199">
            <w:pPr>
              <w:spacing w:after="120"/>
              <w:ind w:firstLine="142"/>
              <w:jc w:val="both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All members of the catering staff should, at all times:</w:t>
            </w:r>
          </w:p>
          <w:p w:rsidR="00974C22" w:rsidRPr="00672199" w:rsidRDefault="00974C22" w:rsidP="00672199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2199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Apply health and safety regulations as appropriate and to maintain a safe working environment at all times;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Follow food hygiene, health and safety procedures (and risk assessments / method statements) of the College and those specific to the Catering Department;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Ensure that all tools are cleaned and put away in their correct and safe place;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Use appropriate Personal Protective Equipment (PPE) for tasks as necessary and as determined by the Head Chef / Catering Manager</w:t>
            </w:r>
            <w:r w:rsidR="00825FEC">
              <w:rPr>
                <w:rFonts w:cs="Arial"/>
                <w:sz w:val="22"/>
                <w:szCs w:val="22"/>
              </w:rPr>
              <w:t>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Wear suitable PPE as supplied for each task;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faulty equipment to the Head Chef / 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Ensuring that the kitchen adheres to our in house HACCP/Assured  Safe Catering Program  programme</w:t>
            </w:r>
            <w:r w:rsidR="00825FEC">
              <w:rPr>
                <w:rFonts w:cs="Arial"/>
                <w:sz w:val="22"/>
                <w:szCs w:val="22"/>
              </w:rPr>
              <w:t>;</w:t>
            </w:r>
            <w:bookmarkStart w:id="3" w:name="_GoBack"/>
            <w:bookmarkEnd w:id="3"/>
            <w:r w:rsidRPr="00672199">
              <w:rPr>
                <w:rFonts w:cs="Arial"/>
                <w:sz w:val="22"/>
                <w:szCs w:val="22"/>
              </w:rPr>
              <w:t xml:space="preserve"> 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Report any potential hazards around the kitchen / </w:t>
            </w:r>
            <w:proofErr w:type="spellStart"/>
            <w:r w:rsidRPr="00672199">
              <w:rPr>
                <w:rFonts w:cs="Arial"/>
                <w:sz w:val="22"/>
                <w:szCs w:val="22"/>
              </w:rPr>
              <w:t>servery</w:t>
            </w:r>
            <w:proofErr w:type="spellEnd"/>
            <w:r w:rsidRPr="00672199">
              <w:rPr>
                <w:rFonts w:cs="Arial"/>
                <w:sz w:val="22"/>
                <w:szCs w:val="22"/>
              </w:rPr>
              <w:t xml:space="preserve"> or buttery to the Head Chef / 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To be aware of, and to enforce the accident reporting procedure.</w:t>
            </w:r>
          </w:p>
          <w:p w:rsidR="00494289" w:rsidRPr="00494289" w:rsidRDefault="00494289" w:rsidP="00672199">
            <w:pPr>
              <w:spacing w:before="120" w:after="120"/>
              <w:ind w:left="426"/>
              <w:rPr>
                <w:rFonts w:cs="Arial"/>
                <w:bCs/>
                <w:sz w:val="22"/>
                <w:szCs w:val="22"/>
              </w:rPr>
            </w:pPr>
          </w:p>
        </w:tc>
      </w:tr>
      <w:tr w:rsidR="00494289" w:rsidRPr="008E2B05" w:rsidTr="00494289">
        <w:tc>
          <w:tcPr>
            <w:tcW w:w="9242" w:type="dxa"/>
          </w:tcPr>
          <w:p w:rsidR="00494289" w:rsidRPr="00494289" w:rsidRDefault="00494289" w:rsidP="002F2590">
            <w:pPr>
              <w:spacing w:before="120" w:after="12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lastRenderedPageBreak/>
              <w:t>Other: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To attend all team meetings and any training nominated for you;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Other duties as required.</w:t>
            </w:r>
          </w:p>
        </w:tc>
      </w:tr>
      <w:tr w:rsidR="00494289" w:rsidRPr="00991481" w:rsidTr="00494289">
        <w:tc>
          <w:tcPr>
            <w:tcW w:w="9242" w:type="dxa"/>
          </w:tcPr>
          <w:p w:rsidR="00494289" w:rsidRPr="008E2B05" w:rsidRDefault="00494289" w:rsidP="00494289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</w:t>
            </w:r>
            <w:r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  <w:p w:rsidR="00494289" w:rsidRPr="00991481" w:rsidRDefault="00494289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</w:tcPr>
          <w:p w:rsidR="00DC51DC" w:rsidRDefault="00DC51DC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Default="00DE5352" w:rsidP="00672199">
            <w:pPr>
              <w:rPr>
                <w:rFonts w:cs="Arial"/>
                <w:bCs/>
                <w:sz w:val="22"/>
                <w:szCs w:val="22"/>
              </w:rPr>
            </w:pPr>
            <w:r w:rsidRPr="00DE5352">
              <w:rPr>
                <w:rFonts w:cs="Arial"/>
                <w:bCs/>
                <w:sz w:val="22"/>
                <w:szCs w:val="22"/>
              </w:rPr>
              <w:t xml:space="preserve">The post holder will need to work very closely with all members of the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Catering </w:t>
            </w:r>
            <w:r w:rsidRPr="00DE5352">
              <w:rPr>
                <w:rFonts w:cs="Arial"/>
                <w:bCs/>
                <w:sz w:val="22"/>
                <w:szCs w:val="22"/>
              </w:rPr>
              <w:t>Department. The post holder will also be in frequent contact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 with Senior Members, Students, and Staff. </w:t>
            </w:r>
          </w:p>
          <w:p w:rsidR="00672199" w:rsidRPr="00991481" w:rsidRDefault="00672199" w:rsidP="00672199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13075B" w:rsidRDefault="0013075B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F3700A" w:rsidRPr="0013075B" w:rsidRDefault="00F3700A" w:rsidP="002F3A96">
      <w:pPr>
        <w:rPr>
          <w:rFonts w:cs="Arial"/>
          <w:b/>
          <w:sz w:val="28"/>
          <w:szCs w:val="28"/>
        </w:rPr>
      </w:pPr>
      <w:r w:rsidRPr="0013075B">
        <w:rPr>
          <w:rFonts w:cs="Arial"/>
          <w:b/>
          <w:sz w:val="28"/>
          <w:szCs w:val="28"/>
        </w:rPr>
        <w:t>Person Specification</w:t>
      </w:r>
    </w:p>
    <w:p w:rsidR="00BA1B70" w:rsidRPr="00BA1B70" w:rsidRDefault="00BA1B70" w:rsidP="00BA1B70"/>
    <w:bookmarkEnd w:id="1"/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4401"/>
        <w:gridCol w:w="2672"/>
      </w:tblGrid>
      <w:tr w:rsidR="00A72896" w:rsidRPr="00991481" w:rsidTr="00494289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" w:name="_Toc165447315"/>
            <w:bookmarkStart w:id="5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4"/>
            <w:bookmarkEnd w:id="5"/>
          </w:p>
        </w:tc>
        <w:tc>
          <w:tcPr>
            <w:tcW w:w="2755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6" w:name="_Toc165447316"/>
            <w:bookmarkStart w:id="7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6"/>
            <w:bookmarkEnd w:id="7"/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  <w:r w:rsidR="00261BCD">
              <w:rPr>
                <w:rFonts w:cs="Arial"/>
                <w:sz w:val="22"/>
                <w:szCs w:val="22"/>
              </w:rPr>
              <w:t xml:space="preserve"> </w:t>
            </w: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 recognised qualification in NVQ levels 1,2  in Pro</w:t>
            </w:r>
            <w:r>
              <w:rPr>
                <w:rFonts w:cs="Arial"/>
                <w:sz w:val="22"/>
                <w:szCs w:val="22"/>
              </w:rPr>
              <w:t>fessional Cookery or equivalent</w:t>
            </w:r>
          </w:p>
          <w:p w:rsidR="00494289" w:rsidRDefault="006761EA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Intermediate Food Hygiene Level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32E7C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, Allergen awareness training</w:t>
            </w:r>
          </w:p>
          <w:p w:rsidR="006761EA" w:rsidRPr="006761EA" w:rsidRDefault="006761EA" w:rsidP="006761EA">
            <w:pPr>
              <w:overflowPunct/>
              <w:autoSpaceDE/>
              <w:autoSpaceDN/>
              <w:adjustRightInd/>
              <w:spacing w:before="120" w:after="120"/>
              <w:ind w:left="318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E6615C" w:rsidRDefault="00266995" w:rsidP="00494289">
            <w:pPr>
              <w:pStyle w:val="ListParagraph"/>
              <w:overflowPunct/>
              <w:spacing w:after="12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Eye for detail and food presentation </w:t>
            </w:r>
          </w:p>
          <w:p w:rsidR="00261BCD" w:rsidRPr="006761EA" w:rsidRDefault="00261BCD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communication skills, with the ability to relate well with Senior Members, Staff, Students, Contractors and Suppliers;</w:t>
            </w:r>
          </w:p>
          <w:p w:rsidR="006761EA" w:rsidRPr="006761EA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listening skills as well as verbal and written communication skills using a variety of communication methods. (face-to-face, telephone, letters, reports);</w:t>
            </w:r>
          </w:p>
          <w:p w:rsidR="006761EA" w:rsidRPr="006761EA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interpersonal skills and to enable effective translation of problems into practical solutions;</w:t>
            </w:r>
          </w:p>
          <w:p w:rsidR="00266995" w:rsidRPr="006761EA" w:rsidRDefault="00266995" w:rsidP="006761EA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before="120" w:after="120"/>
              <w:ind w:left="318" w:hanging="318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Self-motivated and an ability to work without close supervision and a tolerance of dealing with routine problems;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to deadline, with changing priorities, and remaining calm  under pressure;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and willingness to learn new skills;</w:t>
            </w:r>
          </w:p>
          <w:p w:rsidR="00494289" w:rsidRPr="006761EA" w:rsidRDefault="00494289" w:rsidP="006761EA">
            <w:pPr>
              <w:pStyle w:val="ListParagraph"/>
              <w:spacing w:after="120"/>
              <w:ind w:left="318"/>
              <w:contextualSpacing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536" w:type="dxa"/>
          </w:tcPr>
          <w:p w:rsidR="00266995" w:rsidRPr="006761EA" w:rsidRDefault="00261BCD" w:rsidP="00261BCD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/>
              <w:ind w:left="318" w:hanging="318"/>
              <w:contextualSpacing w:val="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as part of a team</w:t>
            </w:r>
            <w:r w:rsidRPr="006761E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6761EA">
              <w:rPr>
                <w:rFonts w:cs="Arial"/>
                <w:sz w:val="22"/>
                <w:szCs w:val="22"/>
              </w:rPr>
              <w:t xml:space="preserve">and independently 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16A2C" w:rsidRPr="00E6615C" w:rsidRDefault="00A16A2C" w:rsidP="00261BCD">
            <w:pPr>
              <w:overflowPunct/>
              <w:spacing w:after="24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6761EA" w:rsidRDefault="006761EA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D09D0" w:rsidRDefault="00CD09D0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32125" w:rsidRDefault="00C32125" w:rsidP="00134304">
      <w:pPr>
        <w:rPr>
          <w:rFonts w:asciiTheme="minorHAnsi" w:hAnsiTheme="minorHAnsi" w:cs="Arial"/>
          <w:b/>
          <w:sz w:val="22"/>
          <w:szCs w:val="22"/>
        </w:rPr>
      </w:pPr>
    </w:p>
    <w:p w:rsidR="00134304" w:rsidRPr="00134304" w:rsidRDefault="00134304" w:rsidP="00134304">
      <w:pPr>
        <w:rPr>
          <w:rFonts w:cs="Arial"/>
          <w:b/>
        </w:rPr>
      </w:pPr>
      <w:r w:rsidRPr="00134304">
        <w:rPr>
          <w:rFonts w:cs="Arial"/>
          <w:b/>
        </w:rPr>
        <w:t>Main Terms and Conditions of Employment:</w:t>
      </w:r>
    </w:p>
    <w:p w:rsidR="00134304" w:rsidRPr="00134304" w:rsidRDefault="00134304" w:rsidP="00134304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appointment is subject to an initial probationary period of six months, which may be extended at the College's discretion.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 is full-time based on 37.5</w:t>
      </w:r>
      <w:r w:rsidRPr="006761EA">
        <w:rPr>
          <w:rFonts w:cs="Arial"/>
          <w:b/>
          <w:sz w:val="22"/>
          <w:szCs w:val="22"/>
        </w:rPr>
        <w:t xml:space="preserve"> </w:t>
      </w:r>
      <w:r w:rsidRPr="006761EA">
        <w:rPr>
          <w:rFonts w:cs="Arial"/>
          <w:sz w:val="22"/>
          <w:szCs w:val="22"/>
        </w:rPr>
        <w:t xml:space="preserve">hours per week.  The salary, according to qualifications and experience, will be equivalent to point </w:t>
      </w:r>
      <w:r w:rsidR="00BB2FE4">
        <w:rPr>
          <w:rFonts w:cs="Arial"/>
          <w:sz w:val="22"/>
          <w:szCs w:val="22"/>
        </w:rPr>
        <w:t>32</w:t>
      </w:r>
      <w:r w:rsidRPr="006761EA">
        <w:rPr>
          <w:rFonts w:cs="Arial"/>
          <w:sz w:val="22"/>
          <w:szCs w:val="22"/>
        </w:rPr>
        <w:t xml:space="preserve"> on the University's Single Spine, for which the present rate is £</w:t>
      </w:r>
      <w:r w:rsidR="00BB2FE4">
        <w:rPr>
          <w:rFonts w:cs="Arial"/>
          <w:sz w:val="22"/>
          <w:szCs w:val="22"/>
        </w:rPr>
        <w:t>23.879</w:t>
      </w:r>
      <w:r w:rsidRPr="006761EA">
        <w:rPr>
          <w:rFonts w:cs="Arial"/>
          <w:sz w:val="22"/>
          <w:szCs w:val="22"/>
        </w:rPr>
        <w:t xml:space="preserve"> per annum (based on 37.5 hours per week).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Holiday entitlement will be 33 days per year, including 8 public holidays. It may be necessary to work on public holidays which occur during Term time.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Under the rules of Auto Enrolment the post holder will be enrolled in the Universities Superannuation Scheme.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 xml:space="preserve">The post is subject to the Newnham College Staff Handbook and Policies &amp; Procedures; dated June 2016 and subsequent updates which may be amended by the College from time to time.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post-holder will be entitled to one free meal per day when on duty (when the catering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Department is open).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Car parking may be provided, subject to availability.</w:t>
      </w:r>
    </w:p>
    <w:p w:rsidR="006761EA" w:rsidRPr="006761EA" w:rsidRDefault="006761EA" w:rsidP="006761EA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Offer of employment:  any offer of employment will be made subject to references satisfactory to the College and proof of your ability to work in the UK.</w:t>
      </w:r>
    </w:p>
    <w:p w:rsidR="00134304" w:rsidRPr="00134304" w:rsidRDefault="00134304" w:rsidP="006761EA">
      <w:pPr>
        <w:rPr>
          <w:rFonts w:cs="Arial"/>
          <w:sz w:val="22"/>
          <w:szCs w:val="22"/>
        </w:rPr>
      </w:pPr>
    </w:p>
    <w:sectPr w:rsidR="00134304" w:rsidRPr="00134304" w:rsidSect="00991481">
      <w:headerReference w:type="default" r:id="rId8"/>
      <w:footerReference w:type="default" r:id="rId9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E4" w:rsidRDefault="00BB2FE4" w:rsidP="007476F7">
      <w:r>
        <w:separator/>
      </w:r>
    </w:p>
  </w:endnote>
  <w:endnote w:type="continuationSeparator" w:id="0">
    <w:p w:rsidR="00BB2FE4" w:rsidRDefault="00BB2FE4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E4" w:rsidRPr="005260FD" w:rsidRDefault="00BB2FE4" w:rsidP="00A11B9F">
    <w:pPr>
      <w:pStyle w:val="Footer"/>
      <w:rPr>
        <w:sz w:val="18"/>
        <w:szCs w:val="18"/>
      </w:rPr>
    </w:pPr>
    <w:r w:rsidRPr="005260FD">
      <w:rPr>
        <w:sz w:val="18"/>
        <w:szCs w:val="18"/>
      </w:rPr>
      <w:fldChar w:fldCharType="begin"/>
    </w:r>
    <w:r w:rsidRPr="005260FD">
      <w:rPr>
        <w:sz w:val="18"/>
        <w:szCs w:val="18"/>
      </w:rPr>
      <w:instrText xml:space="preserve"> FILENAME  \p  \* MERGEFORMAT </w:instrText>
    </w:r>
    <w:r w:rsidRPr="005260FD">
      <w:rPr>
        <w:sz w:val="18"/>
        <w:szCs w:val="18"/>
      </w:rPr>
      <w:fldChar w:fldCharType="separate"/>
    </w:r>
    <w:r>
      <w:rPr>
        <w:noProof/>
        <w:sz w:val="18"/>
        <w:szCs w:val="18"/>
      </w:rPr>
      <w:t>G:\Shared\HR\JOD DESCRIPTIONS &amp; ADVERTS &amp; RECRUITMENT PROCESSES\CATERING\Chef de Partie-JD- Oct 2016 v1.docx</w:t>
    </w:r>
    <w:r w:rsidRPr="005260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E4" w:rsidRDefault="00BB2FE4" w:rsidP="007476F7">
      <w:r>
        <w:separator/>
      </w:r>
    </w:p>
  </w:footnote>
  <w:footnote w:type="continuationSeparator" w:id="0">
    <w:p w:rsidR="00BB2FE4" w:rsidRDefault="00BB2FE4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E4" w:rsidRDefault="00BB2FE4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5E8"/>
    <w:multiLevelType w:val="hybridMultilevel"/>
    <w:tmpl w:val="1CD44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0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405EFC"/>
    <w:multiLevelType w:val="hybridMultilevel"/>
    <w:tmpl w:val="94889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8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6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365"/>
    <w:multiLevelType w:val="hybridMultilevel"/>
    <w:tmpl w:val="2B3AAF24"/>
    <w:lvl w:ilvl="0" w:tplc="A6D2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DA6"/>
    <w:multiLevelType w:val="hybridMultilevel"/>
    <w:tmpl w:val="79BED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027"/>
    <w:multiLevelType w:val="hybridMultilevel"/>
    <w:tmpl w:val="1CF2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2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4613A"/>
    <w:rsid w:val="00066CE2"/>
    <w:rsid w:val="000802C4"/>
    <w:rsid w:val="00093724"/>
    <w:rsid w:val="000A3DD8"/>
    <w:rsid w:val="000E4A9B"/>
    <w:rsid w:val="00112683"/>
    <w:rsid w:val="0011657B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EEF"/>
    <w:rsid w:val="001C08AF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32E7C"/>
    <w:rsid w:val="00247EC3"/>
    <w:rsid w:val="00253C6C"/>
    <w:rsid w:val="00261BCD"/>
    <w:rsid w:val="00266995"/>
    <w:rsid w:val="002700C5"/>
    <w:rsid w:val="00282432"/>
    <w:rsid w:val="002864AD"/>
    <w:rsid w:val="002A281C"/>
    <w:rsid w:val="002B02B9"/>
    <w:rsid w:val="002B7A53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739BC"/>
    <w:rsid w:val="003809ED"/>
    <w:rsid w:val="00392E2C"/>
    <w:rsid w:val="003A050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989"/>
    <w:rsid w:val="00442C21"/>
    <w:rsid w:val="00445643"/>
    <w:rsid w:val="00454908"/>
    <w:rsid w:val="004700B0"/>
    <w:rsid w:val="00471D11"/>
    <w:rsid w:val="00474E0E"/>
    <w:rsid w:val="00494289"/>
    <w:rsid w:val="004D33C9"/>
    <w:rsid w:val="004D7B78"/>
    <w:rsid w:val="004E0883"/>
    <w:rsid w:val="004E69CB"/>
    <w:rsid w:val="004F0C61"/>
    <w:rsid w:val="004F281E"/>
    <w:rsid w:val="004F79F3"/>
    <w:rsid w:val="005008D7"/>
    <w:rsid w:val="00502997"/>
    <w:rsid w:val="00503055"/>
    <w:rsid w:val="005048FB"/>
    <w:rsid w:val="00522B13"/>
    <w:rsid w:val="005260FD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64B89"/>
    <w:rsid w:val="00672199"/>
    <w:rsid w:val="006761EA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2A3B"/>
    <w:rsid w:val="007437AF"/>
    <w:rsid w:val="007476F7"/>
    <w:rsid w:val="007519C1"/>
    <w:rsid w:val="0077580F"/>
    <w:rsid w:val="00777043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245F7"/>
    <w:rsid w:val="00825FEC"/>
    <w:rsid w:val="00837CE3"/>
    <w:rsid w:val="008465D0"/>
    <w:rsid w:val="00847236"/>
    <w:rsid w:val="00854D01"/>
    <w:rsid w:val="008579CA"/>
    <w:rsid w:val="00884514"/>
    <w:rsid w:val="008A3067"/>
    <w:rsid w:val="008A3832"/>
    <w:rsid w:val="008E2B05"/>
    <w:rsid w:val="0091028B"/>
    <w:rsid w:val="00913586"/>
    <w:rsid w:val="009300CE"/>
    <w:rsid w:val="00940AF7"/>
    <w:rsid w:val="00941235"/>
    <w:rsid w:val="00947D55"/>
    <w:rsid w:val="00974C22"/>
    <w:rsid w:val="00991481"/>
    <w:rsid w:val="00995CE3"/>
    <w:rsid w:val="009B051B"/>
    <w:rsid w:val="009B0B39"/>
    <w:rsid w:val="009B1608"/>
    <w:rsid w:val="009B3393"/>
    <w:rsid w:val="009B7D93"/>
    <w:rsid w:val="009D0785"/>
    <w:rsid w:val="009E4D6B"/>
    <w:rsid w:val="00A06210"/>
    <w:rsid w:val="00A069D7"/>
    <w:rsid w:val="00A07273"/>
    <w:rsid w:val="00A11B9F"/>
    <w:rsid w:val="00A16A2C"/>
    <w:rsid w:val="00A6278D"/>
    <w:rsid w:val="00A63595"/>
    <w:rsid w:val="00A72896"/>
    <w:rsid w:val="00A835FB"/>
    <w:rsid w:val="00AA72DD"/>
    <w:rsid w:val="00AB4F12"/>
    <w:rsid w:val="00AF473A"/>
    <w:rsid w:val="00B002DE"/>
    <w:rsid w:val="00B13E5C"/>
    <w:rsid w:val="00B21249"/>
    <w:rsid w:val="00B21926"/>
    <w:rsid w:val="00B27801"/>
    <w:rsid w:val="00B70612"/>
    <w:rsid w:val="00BA1B70"/>
    <w:rsid w:val="00BB13F0"/>
    <w:rsid w:val="00BB2FE4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DE5352"/>
    <w:rsid w:val="00E021C1"/>
    <w:rsid w:val="00E14E6A"/>
    <w:rsid w:val="00E251EE"/>
    <w:rsid w:val="00E37FEA"/>
    <w:rsid w:val="00E51EFC"/>
    <w:rsid w:val="00E54F0A"/>
    <w:rsid w:val="00E6615C"/>
    <w:rsid w:val="00E67440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DFD57D2"/>
  <w15:docId w15:val="{8F6539A3-55A5-4E2D-9907-019C9AC5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37467523</Template>
  <TotalTime>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Hale, Melanie</cp:lastModifiedBy>
  <cp:revision>3</cp:revision>
  <cp:lastPrinted>2016-05-11T11:27:00Z</cp:lastPrinted>
  <dcterms:created xsi:type="dcterms:W3CDTF">2017-09-11T09:24:00Z</dcterms:created>
  <dcterms:modified xsi:type="dcterms:W3CDTF">2017-09-11T09:28:00Z</dcterms:modified>
</cp:coreProperties>
</file>